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CFFC" w14:textId="77777777" w:rsidR="003F073D" w:rsidRPr="005010C7" w:rsidRDefault="001808EA" w:rsidP="003F073D">
      <w:pPr>
        <w:ind w:right="-1109"/>
        <w:rPr>
          <w:szCs w:val="22"/>
          <w:lang w:val="es-ES"/>
        </w:rPr>
      </w:pPr>
      <w:r>
        <w:rPr>
          <w:rFonts w:ascii="CG Times" w:hAnsi="CG Times"/>
          <w:szCs w:val="22"/>
          <w:lang w:val="es-ES"/>
        </w:rPr>
        <w:object w:dxaOrig="1440" w:dyaOrig="1440" w14:anchorId="6EDB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26pt;margin-top:68.5pt;width:320.1pt;height:28.1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1" DrawAspect="Content" ObjectID="_1697653583" r:id="rId9"/>
        </w:object>
      </w:r>
      <w:r w:rsidR="003F073D" w:rsidRPr="005010C7">
        <w:rPr>
          <w:szCs w:val="22"/>
          <w:lang w:val="es-PE"/>
        </w:rPr>
        <w:t>QUINCUAGÉSIMO PRIMER PERÍODO ORDINARIO DE SESIONES</w:t>
      </w:r>
      <w:r w:rsidR="003F073D" w:rsidRPr="005010C7">
        <w:rPr>
          <w:szCs w:val="22"/>
          <w:lang w:val="es-PE"/>
        </w:rPr>
        <w:tab/>
      </w:r>
      <w:r w:rsidR="003F073D" w:rsidRPr="005010C7">
        <w:rPr>
          <w:szCs w:val="22"/>
          <w:lang w:val="es-PE"/>
        </w:rPr>
        <w:tab/>
        <w:t>OEA/</w:t>
      </w:r>
      <w:proofErr w:type="spellStart"/>
      <w:r w:rsidR="003F073D" w:rsidRPr="005010C7">
        <w:rPr>
          <w:szCs w:val="22"/>
          <w:lang w:val="es-PE"/>
        </w:rPr>
        <w:t>Ser.P</w:t>
      </w:r>
      <w:proofErr w:type="spellEnd"/>
    </w:p>
    <w:p w14:paraId="1EBEC91F" w14:textId="77777777" w:rsidR="003F073D" w:rsidRPr="005010C7" w:rsidRDefault="003F073D" w:rsidP="003F073D">
      <w:pPr>
        <w:pStyle w:val="CPClassification"/>
        <w:tabs>
          <w:tab w:val="left" w:pos="7470"/>
          <w:tab w:val="left" w:pos="9000"/>
        </w:tabs>
        <w:ind w:left="0" w:right="-1469"/>
        <w:rPr>
          <w:szCs w:val="22"/>
          <w:lang w:val="es-ES"/>
        </w:rPr>
      </w:pPr>
      <w:r w:rsidRPr="005010C7">
        <w:rPr>
          <w:szCs w:val="22"/>
          <w:lang w:val="es-AR"/>
        </w:rPr>
        <w:t>Del 10 al 12 de noviembre de 2021</w:t>
      </w:r>
      <w:r w:rsidRPr="005010C7">
        <w:rPr>
          <w:szCs w:val="22"/>
          <w:lang w:val="es-ES"/>
        </w:rPr>
        <w:tab/>
        <w:t>AG/doc.573</w:t>
      </w:r>
      <w:r>
        <w:rPr>
          <w:szCs w:val="22"/>
          <w:lang w:val="es-ES"/>
        </w:rPr>
        <w:t>9</w:t>
      </w:r>
      <w:r w:rsidRPr="005010C7">
        <w:rPr>
          <w:szCs w:val="22"/>
          <w:lang w:val="es-ES"/>
        </w:rPr>
        <w:t>/21</w:t>
      </w:r>
    </w:p>
    <w:p w14:paraId="1836642F" w14:textId="77777777" w:rsidR="003F073D" w:rsidRPr="005010C7" w:rsidRDefault="003F073D" w:rsidP="003F073D">
      <w:pPr>
        <w:pStyle w:val="CPClassification"/>
        <w:tabs>
          <w:tab w:val="left" w:pos="7830"/>
          <w:tab w:val="left" w:pos="7920"/>
        </w:tabs>
        <w:ind w:left="0" w:right="-1109"/>
        <w:rPr>
          <w:szCs w:val="22"/>
          <w:lang w:val="es-ES"/>
        </w:rPr>
      </w:pPr>
      <w:r w:rsidRPr="005010C7">
        <w:rPr>
          <w:szCs w:val="22"/>
          <w:lang w:val="es-US"/>
        </w:rPr>
        <w:t>Ciudad de Guatemala, Guatemala</w:t>
      </w:r>
      <w:r w:rsidRPr="005010C7">
        <w:rPr>
          <w:szCs w:val="22"/>
          <w:lang w:val="es-ES"/>
        </w:rPr>
        <w:tab/>
        <w:t>5 noviembre 2021</w:t>
      </w:r>
    </w:p>
    <w:p w14:paraId="79AE2235" w14:textId="77777777" w:rsidR="003F073D" w:rsidRPr="005010C7" w:rsidRDefault="003F073D" w:rsidP="003F073D">
      <w:pPr>
        <w:pStyle w:val="CPClassification"/>
        <w:tabs>
          <w:tab w:val="left" w:pos="7470"/>
          <w:tab w:val="left" w:pos="7830"/>
        </w:tabs>
        <w:ind w:left="0" w:right="-1109"/>
        <w:rPr>
          <w:szCs w:val="22"/>
          <w:lang w:val="es-ES"/>
        </w:rPr>
      </w:pPr>
      <w:bookmarkStart w:id="0" w:name="_Hlk87022832"/>
      <w:r w:rsidRPr="005010C7">
        <w:rPr>
          <w:szCs w:val="22"/>
          <w:lang w:val="es-ES"/>
        </w:rPr>
        <w:t>VIRTUAL</w:t>
      </w:r>
      <w:bookmarkEnd w:id="0"/>
      <w:r w:rsidRPr="005010C7">
        <w:rPr>
          <w:szCs w:val="22"/>
          <w:lang w:val="es-ES"/>
        </w:rPr>
        <w:tab/>
      </w:r>
      <w:r w:rsidRPr="005010C7">
        <w:rPr>
          <w:szCs w:val="22"/>
          <w:lang w:val="es-ES"/>
        </w:rPr>
        <w:tab/>
        <w:t>Original: español</w:t>
      </w:r>
    </w:p>
    <w:p w14:paraId="60199ABF" w14:textId="77777777" w:rsidR="001D344A" w:rsidRPr="00FB262C" w:rsidRDefault="001D344A" w:rsidP="00FB262C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51527B69" w14:textId="7D69BC9E" w:rsidR="002F2C92" w:rsidRPr="00FB262C" w:rsidRDefault="003F073D" w:rsidP="003F073D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</w:tabs>
        <w:jc w:val="right"/>
        <w:rPr>
          <w:szCs w:val="22"/>
          <w:lang w:val="es-ES"/>
        </w:rPr>
      </w:pPr>
      <w:r w:rsidRPr="00254AA0">
        <w:rPr>
          <w:u w:val="single"/>
          <w:lang w:val="es-AR"/>
        </w:rPr>
        <w:t>Punto 22 del temario</w:t>
      </w:r>
    </w:p>
    <w:p w14:paraId="645545CE" w14:textId="539C0C7F" w:rsidR="001D344A" w:rsidRDefault="001D344A" w:rsidP="00FB262C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24984685" w14:textId="00D622C1" w:rsidR="00254AA0" w:rsidRDefault="00254AA0" w:rsidP="00FB262C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31FFEFB3" w14:textId="77777777" w:rsidR="00254AA0" w:rsidRPr="00FB262C" w:rsidRDefault="00254AA0" w:rsidP="00FB262C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6BE8ADF4" w14:textId="43520138" w:rsidR="001472C8" w:rsidRPr="00FB262C" w:rsidRDefault="001472C8" w:rsidP="00FB262C">
      <w:pPr>
        <w:tabs>
          <w:tab w:val="left" w:pos="1980"/>
          <w:tab w:val="left" w:pos="3060"/>
        </w:tabs>
        <w:jc w:val="center"/>
        <w:rPr>
          <w:szCs w:val="22"/>
          <w:lang w:val="es-PE"/>
        </w:rPr>
      </w:pPr>
      <w:bookmarkStart w:id="1" w:name="_Toc12117116"/>
      <w:bookmarkStart w:id="2" w:name="_Toc12118537"/>
      <w:bookmarkStart w:id="3" w:name="_Toc14803660"/>
      <w:r w:rsidRPr="00FB262C">
        <w:rPr>
          <w:szCs w:val="22"/>
          <w:lang w:val="es-PE"/>
        </w:rPr>
        <w:t xml:space="preserve">PROYECTO DE RESOLUCIÓN </w:t>
      </w:r>
    </w:p>
    <w:p w14:paraId="3C0590C5" w14:textId="77777777" w:rsidR="00FB262C" w:rsidRPr="00FB262C" w:rsidRDefault="00FB262C" w:rsidP="00FB262C">
      <w:pPr>
        <w:tabs>
          <w:tab w:val="left" w:pos="1980"/>
          <w:tab w:val="left" w:pos="3060"/>
        </w:tabs>
        <w:jc w:val="center"/>
        <w:rPr>
          <w:color w:val="000000"/>
          <w:szCs w:val="22"/>
          <w:lang w:val="es-PE"/>
        </w:rPr>
      </w:pPr>
    </w:p>
    <w:p w14:paraId="5866692B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center"/>
        <w:rPr>
          <w:szCs w:val="22"/>
          <w:lang w:val="es-PE"/>
        </w:rPr>
      </w:pPr>
      <w:r w:rsidRPr="00FB262C">
        <w:rPr>
          <w:szCs w:val="22"/>
          <w:lang w:val="es-PE"/>
        </w:rPr>
        <w:t>INICIATIVAS PARA LA EXPANSIÓN DE LAS TELECOMUNICACIONES / TIC EN ÁREAS RURALES Y EN ÁREAS DESATENDIDAS O INSUFICIENTEMENTE ATENDIDAS”</w:t>
      </w:r>
    </w:p>
    <w:p w14:paraId="6BDD7674" w14:textId="77777777" w:rsidR="001472C8" w:rsidRPr="00FB262C" w:rsidRDefault="001472C8" w:rsidP="00FB262C">
      <w:pPr>
        <w:tabs>
          <w:tab w:val="left" w:pos="1980"/>
          <w:tab w:val="left" w:pos="3060"/>
        </w:tabs>
        <w:jc w:val="center"/>
        <w:rPr>
          <w:szCs w:val="22"/>
          <w:lang w:val="es-PE"/>
        </w:rPr>
      </w:pPr>
    </w:p>
    <w:p w14:paraId="2A162632" w14:textId="4A65B56B" w:rsidR="001472C8" w:rsidRPr="00FB262C" w:rsidRDefault="001472C8" w:rsidP="00FB262C">
      <w:pPr>
        <w:tabs>
          <w:tab w:val="left" w:pos="1980"/>
          <w:tab w:val="left" w:pos="3060"/>
        </w:tabs>
        <w:jc w:val="center"/>
        <w:rPr>
          <w:szCs w:val="22"/>
          <w:lang w:val="es-PE"/>
        </w:rPr>
      </w:pPr>
      <w:r w:rsidRPr="00FB262C">
        <w:rPr>
          <w:kern w:val="32"/>
          <w:szCs w:val="22"/>
          <w:lang w:val="es-ES_tradnl" w:eastAsia="ar-SA"/>
        </w:rPr>
        <w:t>(</w:t>
      </w:r>
      <w:r w:rsidR="00FB262C" w:rsidRPr="00E33C8B">
        <w:rPr>
          <w:szCs w:val="22"/>
          <w:lang w:val="es-ES_tradnl"/>
        </w:rPr>
        <w:t xml:space="preserve">Acordado por el Consejo Permanente en la sesión virtual celebrada el 20 de octubre de 2021, </w:t>
      </w:r>
      <w:r w:rsidR="00010940">
        <w:rPr>
          <w:szCs w:val="22"/>
          <w:lang w:val="es-ES_tradnl"/>
        </w:rPr>
        <w:br/>
      </w:r>
      <w:r w:rsidR="00FB262C" w:rsidRPr="00E33C8B">
        <w:rPr>
          <w:szCs w:val="22"/>
          <w:lang w:val="es-ES_tradnl"/>
        </w:rPr>
        <w:t>y remitido al Plenario de la Asamblea General para su consideración</w:t>
      </w:r>
      <w:r w:rsidRPr="00FB262C">
        <w:rPr>
          <w:kern w:val="32"/>
          <w:szCs w:val="22"/>
          <w:lang w:val="es-ES_tradnl" w:eastAsia="ar-SA"/>
        </w:rPr>
        <w:t>)</w:t>
      </w:r>
      <w:bookmarkEnd w:id="1"/>
      <w:bookmarkEnd w:id="2"/>
      <w:bookmarkEnd w:id="3"/>
    </w:p>
    <w:p w14:paraId="2EC40EED" w14:textId="77777777" w:rsidR="001472C8" w:rsidRPr="00FB262C" w:rsidRDefault="001472C8" w:rsidP="00FB262C">
      <w:pPr>
        <w:tabs>
          <w:tab w:val="left" w:pos="1980"/>
          <w:tab w:val="left" w:pos="3060"/>
        </w:tabs>
        <w:ind w:firstLine="706"/>
        <w:rPr>
          <w:szCs w:val="22"/>
          <w:lang w:val="es-PE"/>
        </w:rPr>
      </w:pPr>
    </w:p>
    <w:p w14:paraId="327D6DDE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10ECBA57" w14:textId="77777777" w:rsidR="001472C8" w:rsidRPr="00FB262C" w:rsidRDefault="001472C8" w:rsidP="00FB262C">
      <w:pPr>
        <w:tabs>
          <w:tab w:val="left" w:pos="1980"/>
          <w:tab w:val="left" w:pos="3060"/>
        </w:tabs>
        <w:ind w:firstLine="720"/>
        <w:rPr>
          <w:szCs w:val="22"/>
          <w:lang w:val="es-PE"/>
        </w:rPr>
      </w:pPr>
      <w:r w:rsidRPr="00FB262C">
        <w:rPr>
          <w:szCs w:val="22"/>
          <w:lang w:val="es-PE"/>
        </w:rPr>
        <w:t>LA ASAMBLEA GENERAL,</w:t>
      </w:r>
    </w:p>
    <w:p w14:paraId="64B5432A" w14:textId="77777777" w:rsidR="001472C8" w:rsidRPr="00FB262C" w:rsidRDefault="001472C8" w:rsidP="00FB262C">
      <w:pPr>
        <w:tabs>
          <w:tab w:val="left" w:pos="1980"/>
          <w:tab w:val="left" w:pos="3060"/>
        </w:tabs>
        <w:rPr>
          <w:szCs w:val="22"/>
          <w:lang w:val="es-PE"/>
        </w:rPr>
      </w:pPr>
    </w:p>
    <w:p w14:paraId="18DE9EDE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CONSIDERANDO:</w:t>
      </w:r>
    </w:p>
    <w:p w14:paraId="2F8160BF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11695EC6" w14:textId="73EC3875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 xml:space="preserve">Que las Telecomunicaciones/TIC son una herramienta esencial para el desarrollo de las actividades cotidianas de las personas y que impactan directamente en el entorno" económico, social y cultural de los países; </w:t>
      </w:r>
    </w:p>
    <w:p w14:paraId="12658E2D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5D0C0952" w14:textId="49453313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la infraestructura mundial de Telecomunicaciones/TIC es un insumo fundamental e indispensable para las economías mundiales y nacionales y para el bienestar de todas las sociedades;</w:t>
      </w:r>
    </w:p>
    <w:p w14:paraId="31CE78BD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58FABE5B" w14:textId="0E6FD1E4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la participación de las comunidades, las ONG y los gobiernos locales es fundamental para el éxito de una iniciativa de conectividad rural;</w:t>
      </w:r>
    </w:p>
    <w:p w14:paraId="26657EC7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1EBD6A58" w14:textId="165CA986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la Resolución 200 (Rev. Dubái 2018) de la Conferencia de Plenipotenciarios sobre la “Agenda Conectar 2020 para el desarrollo mundial de las telecomunicaciones/tecnologías de la información y la comunicación (TIC)”; especialmente en su meta 2, referente a “reducir la brecha digital y lograr el acceso universal de banda ancha”;</w:t>
      </w:r>
    </w:p>
    <w:p w14:paraId="63A56179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5A993EF0" w14:textId="78F6B458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la Recomendación ITU-D 19 (Rev. Buenos Aires 2017) de la Conferencia Mundial de Desarrollo de las Telecomunicaciones (CMDT) “Telecomunicaciones para las zonas rurales y distantes”, establece que el contar con servicios de telecomunicaciones y aplicaciones de TIC, contribuye de manera significante a mejorar la calidad de vida de la población, maximiza el bienestar social, incrementa la productividad, ahorra recursos y contribuye a salvaguardar los derechos humanos;</w:t>
      </w:r>
    </w:p>
    <w:p w14:paraId="4410712D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45D2AC14" w14:textId="64360121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La Resolución CCP.I/RES. 268 (XXVIII-16) de la CITEL, la cual menciona que debe asegurarse la implementación equitativa de servicios de telecomunicaciones/TIC, que fomenten el desarrollo socioeconómico sustentable, minimicen la pobreza y las desigualdades sociales de las comunidades rurales e indígenas apartadas;</w:t>
      </w:r>
    </w:p>
    <w:p w14:paraId="3E206836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7C4ABD80" w14:textId="03BF62CD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lastRenderedPageBreak/>
        <w:tab/>
        <w:t>Que la recomendación CCP.I/REC. 28 (XXXIII-18) de la CITEL recomendó que los Estados Miembros faciliten el desarrollo de modelos regulatorios que fomenten el despliegue de infraestructura en zonas rurales alejadas o insuficientemente atendidas identificando cambios necesarios en a) Políticas Regulatorias y en b) Modelos para lograr el Acceso Universal;</w:t>
      </w:r>
    </w:p>
    <w:p w14:paraId="5A54C831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0190E0D6" w14:textId="7E5FD0FE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es necesario encontrar nuevas alternativas que puedan solucionar a corto plazo la falta de conectividad y servicios de telecomunicaciones/TIC en zonas que no cuentan con ellos o que no les son asequibles;</w:t>
      </w:r>
    </w:p>
    <w:p w14:paraId="2E0E2DD6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71013824" w14:textId="2E083104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es necesario que los Estados Miembros propicien acciones urgentes para facilitar el desarrollo tecnológico y la conectividad a redes de banda ancha, mismas que deben ser asequibles en beneficio de todos los sectores de la población;</w:t>
      </w:r>
    </w:p>
    <w:p w14:paraId="56D3BAC5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13B0F933" w14:textId="77777777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RECONOCIENDO:</w:t>
      </w:r>
    </w:p>
    <w:p w14:paraId="0754E702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5F2EE428" w14:textId="4AA6E6CA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el intercambio de experiencias contenido en el documento de “Mejores Prácticas para reducir la brecha digital conectando a los no conectados en aéreas rurales desatendidas o insuficientemente atendidas” de la CITEL, es un importante insumo que ha permitido recopilar y analizar el statu quo en relación con la conectividad en zonas rurales en la región;</w:t>
      </w:r>
    </w:p>
    <w:p w14:paraId="24F3C7B9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3741BAFB" w14:textId="3120CECE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un mayor despliegue de infraestructura puede proporcionar acceso a servicios, a la educación y acceso al empleo;</w:t>
      </w:r>
    </w:p>
    <w:p w14:paraId="6FAF008E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27B52B78" w14:textId="32540E09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un mejor acceso a los servicios de telecomunicaciones y TIC puede proporcionar inclusión económica y social y, igualdad de género;</w:t>
      </w:r>
    </w:p>
    <w:p w14:paraId="6C515303" w14:textId="77777777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 xml:space="preserve">   </w:t>
      </w:r>
    </w:p>
    <w:p w14:paraId="06EA91AE" w14:textId="0FF9223B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Que las innovaciones que se están viendo en el campo regulatorio y tecnológico pueden acelerar la reducción de la brecha digital;</w:t>
      </w:r>
    </w:p>
    <w:p w14:paraId="6FE36FCA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03447F57" w14:textId="77777777" w:rsidR="001472C8" w:rsidRPr="00FB262C" w:rsidRDefault="001472C8" w:rsidP="00FB262C">
      <w:pPr>
        <w:jc w:val="both"/>
        <w:rPr>
          <w:szCs w:val="22"/>
          <w:lang w:val="es-PE"/>
        </w:rPr>
      </w:pPr>
      <w:proofErr w:type="gramStart"/>
      <w:r w:rsidRPr="00FB262C">
        <w:rPr>
          <w:szCs w:val="22"/>
          <w:lang w:val="es-PE"/>
        </w:rPr>
        <w:t>RECONOCIENDO</w:t>
      </w:r>
      <w:proofErr w:type="gramEnd"/>
      <w:r w:rsidRPr="00FB262C">
        <w:rPr>
          <w:szCs w:val="22"/>
          <w:lang w:val="es-PE"/>
        </w:rPr>
        <w:t xml:space="preserve"> ADEMÁS:</w:t>
      </w:r>
    </w:p>
    <w:p w14:paraId="75D5CFE5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2695733D" w14:textId="60F8A804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bookmarkStart w:id="4" w:name="_Hlk57987291"/>
      <w:r w:rsidRPr="00FB262C">
        <w:rPr>
          <w:szCs w:val="22"/>
          <w:lang w:val="es-PE"/>
        </w:rPr>
        <w:t>Que la coyuntura provocada por la pandemia de COVID-19, urge acelerar la puesta en marcha de soluciones de conectividad que permitan atender a los ciudadanos;</w:t>
      </w:r>
    </w:p>
    <w:p w14:paraId="4E72BD0E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22CBB062" w14:textId="329DA392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bookmarkStart w:id="5" w:name="_Hlk57987369"/>
      <w:r w:rsidRPr="00FB262C">
        <w:rPr>
          <w:szCs w:val="22"/>
          <w:lang w:val="es-PE"/>
        </w:rPr>
        <w:t>La importancia del principio de neutralidad tecnológica</w:t>
      </w:r>
      <w:bookmarkEnd w:id="4"/>
      <w:bookmarkEnd w:id="5"/>
      <w:r w:rsidRPr="00FB262C">
        <w:rPr>
          <w:szCs w:val="22"/>
          <w:lang w:val="es-PE"/>
        </w:rPr>
        <w:t>;</w:t>
      </w:r>
    </w:p>
    <w:p w14:paraId="7B3A6176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09B9DF1C" w14:textId="182EEB95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Que el recurso orbita/espectro es un insumo de extrema relevancia para reducir la brecha de conectividad y que debe ser utilizado como recomienda la UIT-R y otras organizaciones afines;</w:t>
      </w:r>
    </w:p>
    <w:p w14:paraId="3AB0F6BC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31F661AA" w14:textId="61ECB0B6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Que las administraciones pueden tener diferentes prioridades, requerimientos legales y reglamentarios, condiciones sociales y económico-financieras y disponibilidad del espectro radioeléctrico; y</w:t>
      </w:r>
    </w:p>
    <w:p w14:paraId="540D88A7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26405CF7" w14:textId="2BD539D4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Que es necesario considerar nuevas alternativas, tecnologías, medios de acceso y servicios que puedan solucionar a corto plazo la falta de conectividad y servicios de Telecomunicaciones/TIC en zonas que no cuentan con ellos o que no les son asequibles,</w:t>
      </w:r>
    </w:p>
    <w:p w14:paraId="0E3B3199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727336F9" w14:textId="77777777" w:rsidR="00010940" w:rsidRDefault="00010940">
      <w:pPr>
        <w:rPr>
          <w:szCs w:val="22"/>
          <w:lang w:val="es-PE"/>
        </w:rPr>
      </w:pPr>
      <w:r>
        <w:rPr>
          <w:szCs w:val="22"/>
          <w:lang w:val="es-PE"/>
        </w:rPr>
        <w:br w:type="page"/>
      </w:r>
    </w:p>
    <w:p w14:paraId="0FEA6119" w14:textId="2E1839EE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lastRenderedPageBreak/>
        <w:t>INVITA A LOS ESTADOS MIEMBROS:</w:t>
      </w:r>
    </w:p>
    <w:p w14:paraId="2D9BBD7F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4AC17A91" w14:textId="77777777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>Que las administraciones de la CITEL que deseen desarrollar proyectos o iniciativas de expansión de las Telecomunicaciones / TIC en áreas rurales y en áreas desatendidas o insuficientemente atendidas, observando las disposiciones reglamentarias aplicables en cada país, contemplen las siguientes iniciativas:</w:t>
      </w:r>
    </w:p>
    <w:p w14:paraId="7B87E6D0" w14:textId="77777777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</w:r>
    </w:p>
    <w:p w14:paraId="27AEA71C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1.</w:t>
      </w:r>
      <w:r w:rsidRPr="00FB262C">
        <w:rPr>
          <w:szCs w:val="22"/>
          <w:lang w:val="es-PE"/>
        </w:rPr>
        <w:tab/>
        <w:t>Promover la utilización de fondos de servicio universal o fondos de ayuda para proyectos de conectividad dirigidos a zonas rurales, remotas o insuficientemente atendidas y contar con las facilidades que permitan acceder a todo tipo de operadores.</w:t>
      </w:r>
    </w:p>
    <w:p w14:paraId="724DA639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27EEDCBC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2.</w:t>
      </w:r>
      <w:r w:rsidRPr="00FB262C">
        <w:rPr>
          <w:szCs w:val="22"/>
          <w:lang w:val="es-PE"/>
        </w:rPr>
        <w:tab/>
        <w:t>Fomentar y apoyar la implementación de modelos de negocio que incentiven el ingreso de nuevos agentes económicos y promuevan su sostenibilidad financiera.</w:t>
      </w:r>
    </w:p>
    <w:p w14:paraId="1196CDE0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6164B8FB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3.</w:t>
      </w:r>
      <w:r w:rsidRPr="00FB262C">
        <w:rPr>
          <w:szCs w:val="22"/>
          <w:lang w:val="es-PE"/>
        </w:rPr>
        <w:tab/>
        <w:t>Alentar la discusión en los países de la región en referencia al análisis de medidas fiscales que favorezcan la conectividad.</w:t>
      </w:r>
    </w:p>
    <w:p w14:paraId="70194E45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15DCAC26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4.</w:t>
      </w:r>
      <w:r w:rsidRPr="00FB262C">
        <w:rPr>
          <w:szCs w:val="22"/>
          <w:lang w:val="es-PE"/>
        </w:rPr>
        <w:tab/>
        <w:t>A que las políticas de conectividad rural deberían priorizar tecnologías y proyectos que demuestren sostenibilidad, eficiencia y velocidad de implementación en áreas rurales.</w:t>
      </w:r>
    </w:p>
    <w:p w14:paraId="4DC4E3AD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155F54B1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5.</w:t>
      </w:r>
      <w:r w:rsidRPr="00FB262C">
        <w:rPr>
          <w:szCs w:val="22"/>
          <w:lang w:val="es-PE"/>
        </w:rPr>
        <w:tab/>
        <w:t xml:space="preserve">Estimular la inversión, tanto pública, privada y asociaciones público-privadas, así como la asociatividad y la compartición de infraestructura en zonas rurales. </w:t>
      </w:r>
    </w:p>
    <w:p w14:paraId="0540D2E9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22E7E87F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6.</w:t>
      </w:r>
      <w:r w:rsidRPr="00FB262C">
        <w:rPr>
          <w:szCs w:val="22"/>
          <w:lang w:val="es-PE"/>
        </w:rPr>
        <w:tab/>
        <w:t xml:space="preserve">Promover ecosistemas locales de innovación, así como estrategias de apropiación tecnológica en las zonas rurales </w:t>
      </w:r>
    </w:p>
    <w:p w14:paraId="35CF1E4A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65C9C1AA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7.</w:t>
      </w:r>
      <w:r w:rsidRPr="00FB262C">
        <w:rPr>
          <w:szCs w:val="22"/>
          <w:lang w:val="es-PE"/>
        </w:rPr>
        <w:tab/>
        <w:t>Incentivar participación de pequeños operadores y operadores comunitarios para la atención de zonas no cubiertas a través de medidas de licenciamiento específico, acceso a infraestructura esencial y a programas de fomento de cobertura social.</w:t>
      </w:r>
    </w:p>
    <w:p w14:paraId="08178D39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0A917DDB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8.</w:t>
      </w:r>
      <w:r w:rsidRPr="00FB262C">
        <w:rPr>
          <w:szCs w:val="22"/>
          <w:lang w:val="es-PE"/>
        </w:rPr>
        <w:tab/>
        <w:t>Promover la cooperación y eliminación de barreras al despliegue de infraestructura entre los gobiernos centrales y los gobiernos locales para resolver los problemas de permisos y derechos de paso.</w:t>
      </w:r>
    </w:p>
    <w:p w14:paraId="0A95EC3D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3494A40C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9.</w:t>
      </w:r>
      <w:r w:rsidRPr="00FB262C">
        <w:rPr>
          <w:szCs w:val="22"/>
          <w:lang w:val="es-PE"/>
        </w:rPr>
        <w:tab/>
        <w:t xml:space="preserve">Promover la creación de Manuales de Buenas Prácticas relacionadas con el despliegue de infraestructura, así como la homogeneidad de requisitos y reglamentación locales. </w:t>
      </w:r>
    </w:p>
    <w:p w14:paraId="45662990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7B5564E8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10.</w:t>
      </w:r>
      <w:r w:rsidRPr="00FB262C">
        <w:rPr>
          <w:szCs w:val="22"/>
          <w:lang w:val="es-PE"/>
        </w:rPr>
        <w:tab/>
        <w:t>Examinar periódicamente la regulación aplicable a la conectividad rural para responder rápidamente a las demandas y necesidades específicas de la conectividad en las zonas rurales.</w:t>
      </w:r>
    </w:p>
    <w:p w14:paraId="160D1231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0E7FA9A9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11.</w:t>
      </w:r>
      <w:r w:rsidRPr="00FB262C">
        <w:rPr>
          <w:szCs w:val="22"/>
          <w:lang w:val="es-PE"/>
        </w:rPr>
        <w:tab/>
        <w:t xml:space="preserve">Adecuar los estándares mínimos de calidad, velocidad y continuidad del servicio en las comunidades rurales. </w:t>
      </w:r>
    </w:p>
    <w:p w14:paraId="529C734A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56FFAEE1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12.</w:t>
      </w:r>
      <w:r w:rsidRPr="00FB262C">
        <w:rPr>
          <w:szCs w:val="22"/>
          <w:lang w:val="es-PE"/>
        </w:rPr>
        <w:tab/>
        <w:t>Promover incentivos específicos para las zonas rurales (inversión, tasas, contribuciones, etc.).</w:t>
      </w:r>
    </w:p>
    <w:p w14:paraId="29E4D524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4AD19307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lastRenderedPageBreak/>
        <w:tab/>
        <w:t>13.</w:t>
      </w:r>
      <w:r w:rsidRPr="00FB262C">
        <w:rPr>
          <w:szCs w:val="22"/>
          <w:lang w:val="es-PE"/>
        </w:rPr>
        <w:tab/>
        <w:t>Medir permanentemente el avance de los proyectos para fomentar la conectividad, publicarlos de manera sistémica y continua; medir el impacto y adoptar los correctivos necesarios de ser el caso.</w:t>
      </w:r>
    </w:p>
    <w:p w14:paraId="65026249" w14:textId="2F4C921D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27817631" w14:textId="4E804FA7" w:rsidR="001472C8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14.</w:t>
      </w:r>
      <w:r w:rsidRPr="00FB262C">
        <w:rPr>
          <w:szCs w:val="22"/>
          <w:lang w:val="es-PE"/>
        </w:rPr>
        <w:tab/>
        <w:t xml:space="preserve">Fomentar el desarrollo de un sistema de mapeo de conectividad que identifique los lugares donde existe infraestructura instalada y conectividad. </w:t>
      </w:r>
    </w:p>
    <w:p w14:paraId="2B7CABA3" w14:textId="77777777" w:rsidR="001829F6" w:rsidRPr="00FB262C" w:rsidRDefault="001829F6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2CA01051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15.</w:t>
      </w:r>
      <w:r w:rsidRPr="00FB262C">
        <w:rPr>
          <w:szCs w:val="22"/>
          <w:lang w:val="es-PE"/>
        </w:rPr>
        <w:tab/>
        <w:t>Crear un entorno regulatorio que fomente la innovación y la inversión para el desarrollo tecnológico, analizando toda la oferta tecnológica de conectividad de acuerdo con las necesidades de cada país.</w:t>
      </w:r>
    </w:p>
    <w:p w14:paraId="139EB717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4AE2A1A8" w14:textId="31A31FC1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16.</w:t>
      </w:r>
      <w:r w:rsidRPr="00FB262C">
        <w:rPr>
          <w:szCs w:val="22"/>
          <w:lang w:val="es-PE"/>
        </w:rPr>
        <w:tab/>
        <w:t>Analizar la pertinencia para que los operadores puedan destinar parcial o totalmente el monto de la contribución debida a los fondos de acceso y servicio universal para proyectos de conectividad rural definidas por las políticas de conectividad de acuerdo con las necesidades de cada país.</w:t>
      </w:r>
    </w:p>
    <w:p w14:paraId="73607BA0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5773A1E9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  <w:t>17.</w:t>
      </w:r>
      <w:r w:rsidRPr="00FB262C">
        <w:rPr>
          <w:szCs w:val="22"/>
          <w:lang w:val="es-PE"/>
        </w:rPr>
        <w:tab/>
        <w:t>Considerar, de acuerdo con las políticas y si la legislación nacional lo permite, que las empresas que han desplegado conectividad en zonas rurales pudieran quedar exentas de la obligatoriedad de contribución al fondo de acceso y servicio universal.</w:t>
      </w:r>
    </w:p>
    <w:p w14:paraId="0A1739FF" w14:textId="77777777" w:rsidR="001472C8" w:rsidRPr="00FB262C" w:rsidRDefault="001472C8" w:rsidP="00FB262C">
      <w:pPr>
        <w:tabs>
          <w:tab w:val="left" w:pos="699"/>
          <w:tab w:val="left" w:pos="1080"/>
          <w:tab w:val="left" w:pos="1980"/>
          <w:tab w:val="left" w:pos="3060"/>
          <w:tab w:val="left" w:pos="7257"/>
          <w:tab w:val="left" w:pos="7920"/>
          <w:tab w:val="left" w:pos="8508"/>
          <w:tab w:val="left" w:pos="9216"/>
        </w:tabs>
        <w:jc w:val="both"/>
        <w:rPr>
          <w:szCs w:val="22"/>
          <w:lang w:val="es-PE"/>
        </w:rPr>
      </w:pPr>
    </w:p>
    <w:p w14:paraId="381890A7" w14:textId="5B2F52E1" w:rsidR="001472C8" w:rsidRPr="00FB262C" w:rsidRDefault="001472C8" w:rsidP="00FB262C">
      <w:pPr>
        <w:jc w:val="both"/>
        <w:rPr>
          <w:szCs w:val="22"/>
          <w:lang w:val="es-PE"/>
        </w:rPr>
      </w:pPr>
      <w:r w:rsidRPr="00FB262C">
        <w:rPr>
          <w:szCs w:val="22"/>
          <w:lang w:val="es-PE"/>
        </w:rPr>
        <w:tab/>
      </w:r>
      <w:r w:rsidRPr="00FB262C">
        <w:rPr>
          <w:szCs w:val="22"/>
          <w:lang w:val="es-CO"/>
        </w:rPr>
        <w:t xml:space="preserve">18.  </w:t>
      </w:r>
      <w:r w:rsidRPr="00FB262C">
        <w:rPr>
          <w:szCs w:val="22"/>
          <w:lang w:val="es-CO"/>
        </w:rPr>
        <w:tab/>
        <w:t xml:space="preserve">Considerar </w:t>
      </w:r>
      <w:r w:rsidRPr="00FB262C">
        <w:rPr>
          <w:szCs w:val="22"/>
          <w:lang w:val="es-PE"/>
        </w:rPr>
        <w:t xml:space="preserve">incentivos </w:t>
      </w:r>
      <w:r w:rsidRPr="00FB262C">
        <w:rPr>
          <w:szCs w:val="22"/>
          <w:lang w:val="es-CO"/>
        </w:rPr>
        <w:t xml:space="preserve">para que, mediante el adecuado aprovechamiento </w:t>
      </w:r>
      <w:r w:rsidRPr="00FB262C">
        <w:rPr>
          <w:szCs w:val="22"/>
          <w:lang w:val="es-PE"/>
        </w:rPr>
        <w:t xml:space="preserve">del espectro radioeléctrico, se amplíe la cobertura de servicios de </w:t>
      </w:r>
      <w:r w:rsidRPr="00FB262C">
        <w:rPr>
          <w:szCs w:val="22"/>
          <w:lang w:val="es-CO"/>
        </w:rPr>
        <w:t>Telecomunicaciones/TIC en condiciones asequibles y de calidad</w:t>
      </w:r>
      <w:r w:rsidRPr="00FB262C">
        <w:rPr>
          <w:szCs w:val="22"/>
          <w:lang w:val="es-PE"/>
        </w:rPr>
        <w:t xml:space="preserve">, implementando </w:t>
      </w:r>
      <w:r w:rsidRPr="00FB262C">
        <w:rPr>
          <w:szCs w:val="22"/>
          <w:lang w:val="es-CO"/>
        </w:rPr>
        <w:t xml:space="preserve">marcos regulatorios flexibles </w:t>
      </w:r>
      <w:r w:rsidRPr="00FB262C">
        <w:rPr>
          <w:szCs w:val="22"/>
          <w:lang w:val="es-PE"/>
        </w:rPr>
        <w:t xml:space="preserve">que faciliten el acceso a servicios y el uso del espectro radioeléctrico con el objetivo de fomentar las inversiones en esas zonas y que promuevan el cumplimiento de obligaciones de la cobertura de servicio. </w:t>
      </w:r>
    </w:p>
    <w:p w14:paraId="2172262B" w14:textId="77777777" w:rsidR="001472C8" w:rsidRPr="00FB262C" w:rsidRDefault="001472C8" w:rsidP="00FB262C">
      <w:pPr>
        <w:jc w:val="both"/>
        <w:rPr>
          <w:szCs w:val="22"/>
          <w:lang w:val="es-PE"/>
        </w:rPr>
      </w:pPr>
    </w:p>
    <w:p w14:paraId="332F0EBF" w14:textId="77777777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r w:rsidRPr="00FB262C">
        <w:rPr>
          <w:szCs w:val="22"/>
          <w:lang w:val="es-CO"/>
        </w:rPr>
        <w:t xml:space="preserve">19. </w:t>
      </w:r>
      <w:r w:rsidRPr="00FB262C">
        <w:rPr>
          <w:szCs w:val="22"/>
          <w:lang w:val="es-CO"/>
        </w:rPr>
        <w:tab/>
        <w:t xml:space="preserve">Considerar </w:t>
      </w:r>
      <w:r w:rsidRPr="00FB262C">
        <w:rPr>
          <w:szCs w:val="22"/>
          <w:lang w:val="es-PE"/>
        </w:rPr>
        <w:t>modelos alternativos e innovadores de asignación, licenciamiento y pago por el uso del espectro radioeléctrico que tengan como objetivo facilitar la expansión de cobertura.</w:t>
      </w:r>
    </w:p>
    <w:p w14:paraId="2F558809" w14:textId="319ACA17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</w:p>
    <w:p w14:paraId="7F508227" w14:textId="77777777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  <w:r w:rsidRPr="00FB262C">
        <w:rPr>
          <w:szCs w:val="22"/>
          <w:lang w:val="es-CO"/>
        </w:rPr>
        <w:t xml:space="preserve">20. </w:t>
      </w:r>
      <w:r w:rsidRPr="00FB262C">
        <w:rPr>
          <w:szCs w:val="22"/>
          <w:lang w:val="es-CO"/>
        </w:rPr>
        <w:tab/>
        <w:t>Considerar</w:t>
      </w:r>
      <w:r w:rsidRPr="00FB262C">
        <w:rPr>
          <w:szCs w:val="22"/>
          <w:lang w:val="es-PE"/>
        </w:rPr>
        <w:t xml:space="preserve"> políticas para fomentar inversiones dirigidas a tecnologías satelitales, aeronáuticas, y soluciones terrestres incluyendo plataformas estratosféricas, entre otras que podrían brindar servicio de </w:t>
      </w:r>
      <w:r w:rsidRPr="00FB262C">
        <w:rPr>
          <w:szCs w:val="22"/>
          <w:lang w:val="es-CO"/>
        </w:rPr>
        <w:t>Telecomunicaciones/TIC en el corto plazo</w:t>
      </w:r>
      <w:r w:rsidRPr="00FB262C">
        <w:rPr>
          <w:szCs w:val="22"/>
          <w:lang w:val="es-PE"/>
        </w:rPr>
        <w:t>.</w:t>
      </w:r>
    </w:p>
    <w:p w14:paraId="4E9E1DE9" w14:textId="77777777" w:rsidR="001472C8" w:rsidRPr="00FB262C" w:rsidRDefault="001472C8" w:rsidP="00FB262C">
      <w:pPr>
        <w:ind w:firstLine="706"/>
        <w:jc w:val="both"/>
        <w:rPr>
          <w:szCs w:val="22"/>
          <w:lang w:val="es-PE"/>
        </w:rPr>
      </w:pPr>
    </w:p>
    <w:p w14:paraId="22EE4458" w14:textId="016DFB02" w:rsidR="001472C8" w:rsidRPr="00FB262C" w:rsidRDefault="001472C8" w:rsidP="00FB262C">
      <w:pPr>
        <w:ind w:firstLine="706"/>
        <w:jc w:val="both"/>
        <w:rPr>
          <w:szCs w:val="22"/>
          <w:lang w:val="es-CO"/>
        </w:rPr>
      </w:pPr>
      <w:r w:rsidRPr="00FB262C">
        <w:rPr>
          <w:szCs w:val="22"/>
          <w:lang w:val="es-PE"/>
        </w:rPr>
        <w:t xml:space="preserve">21. </w:t>
      </w:r>
      <w:r w:rsidRPr="00FB262C">
        <w:rPr>
          <w:szCs w:val="22"/>
          <w:lang w:val="es-PE"/>
        </w:rPr>
        <w:tab/>
        <w:t>Considerar la implementación de nuevas tecnologías y técnicas de gestión dinámica de espectro radioeléctrico que permitan su uso flexible o compartido incluyendo espectro licenciado y no licenciado.</w:t>
      </w:r>
    </w:p>
    <w:p w14:paraId="65D0E2D6" w14:textId="1866541C" w:rsidR="00EE508E" w:rsidRPr="001808EA" w:rsidRDefault="00EE508E" w:rsidP="00FB262C">
      <w:pPr>
        <w:jc w:val="center"/>
        <w:rPr>
          <w:noProof/>
          <w:lang w:val="es-AR"/>
        </w:rPr>
      </w:pPr>
    </w:p>
    <w:p w14:paraId="28B57530" w14:textId="27CA3643" w:rsidR="00254AA0" w:rsidRPr="00FB262C" w:rsidRDefault="001808EA" w:rsidP="00FB262C">
      <w:pPr>
        <w:jc w:val="center"/>
        <w:rPr>
          <w:spacing w:val="-2"/>
          <w:szCs w:val="22"/>
          <w:u w:val="single"/>
          <w:lang w:val="es-C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3DD8DB" wp14:editId="15FD7F88">
            <wp:simplePos x="0" y="0"/>
            <wp:positionH relativeFrom="margin">
              <wp:align>right</wp:align>
            </wp:positionH>
            <wp:positionV relativeFrom="paragraph">
              <wp:posOffset>1202266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26">
        <w:rPr>
          <w:noProof/>
          <w:spacing w:val="-2"/>
          <w:szCs w:val="22"/>
          <w:u w:val="single"/>
          <w:lang w:val="es-C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493EF5A" wp14:editId="7363E55A">
                <wp:simplePos x="0" y="0"/>
                <wp:positionH relativeFrom="column">
                  <wp:posOffset>-120015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9518DA" w14:textId="0C6B2AB8" w:rsidR="004B4426" w:rsidRPr="004B4426" w:rsidRDefault="004B4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AG08390S01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EF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5pt;margin-top:0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" filled="f" stroked="f">
                <v:stroke joinstyle="round"/>
                <v:textbox>
                  <w:txbxContent>
                    <w:p w14:paraId="7F9518DA" w14:textId="0C6B2AB8" w:rsidR="004B4426" w:rsidRPr="004B4426" w:rsidRDefault="004B4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AG08390S01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254AA0" w:rsidRPr="00FB262C" w:rsidSect="00FB262C">
      <w:headerReference w:type="default" r:id="rId11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953C" w14:textId="77777777" w:rsidR="00CF4B0E" w:rsidRDefault="00CF4B0E">
      <w:r>
        <w:separator/>
      </w:r>
    </w:p>
  </w:endnote>
  <w:endnote w:type="continuationSeparator" w:id="0">
    <w:p w14:paraId="68211895" w14:textId="77777777" w:rsidR="00CF4B0E" w:rsidRDefault="00CF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4181" w14:textId="77777777" w:rsidR="00CF4B0E" w:rsidRDefault="00CF4B0E">
      <w:r>
        <w:separator/>
      </w:r>
    </w:p>
  </w:footnote>
  <w:footnote w:type="continuationSeparator" w:id="0">
    <w:p w14:paraId="6A27B372" w14:textId="77777777" w:rsidR="00CF4B0E" w:rsidRDefault="00CF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31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0FF331" w14:textId="04A83D83" w:rsidR="00FB262C" w:rsidRDefault="00FB2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8EA93" w14:textId="77777777" w:rsidR="00FB262C" w:rsidRDefault="00FB2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D37"/>
    <w:multiLevelType w:val="hybridMultilevel"/>
    <w:tmpl w:val="295C3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B54BD6"/>
    <w:multiLevelType w:val="hybridMultilevel"/>
    <w:tmpl w:val="079C5910"/>
    <w:lvl w:ilvl="0" w:tplc="707819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E0B7DBD"/>
    <w:multiLevelType w:val="multilevel"/>
    <w:tmpl w:val="295C34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9B0533"/>
    <w:multiLevelType w:val="multilevel"/>
    <w:tmpl w:val="7348F4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A9A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29BC"/>
    <w:multiLevelType w:val="hybridMultilevel"/>
    <w:tmpl w:val="7348F466"/>
    <w:lvl w:ilvl="0" w:tplc="9C76F5EC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D005A"/>
    <w:multiLevelType w:val="hybridMultilevel"/>
    <w:tmpl w:val="3796E112"/>
    <w:lvl w:ilvl="0" w:tplc="A6860C7C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034"/>
    <w:multiLevelType w:val="hybridMultilevel"/>
    <w:tmpl w:val="0524B182"/>
    <w:lvl w:ilvl="0" w:tplc="0632286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752"/>
    <w:multiLevelType w:val="hybridMultilevel"/>
    <w:tmpl w:val="978414E2"/>
    <w:lvl w:ilvl="0" w:tplc="9FD8AA08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7B3"/>
    <w:multiLevelType w:val="multilevel"/>
    <w:tmpl w:val="F1D89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0781D6E"/>
    <w:multiLevelType w:val="hybridMultilevel"/>
    <w:tmpl w:val="6B2256AE"/>
    <w:lvl w:ilvl="0" w:tplc="348082D8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7054C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5846F4"/>
    <w:multiLevelType w:val="multilevel"/>
    <w:tmpl w:val="91F4E3D2"/>
    <w:lvl w:ilvl="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CCC"/>
    <w:multiLevelType w:val="hybridMultilevel"/>
    <w:tmpl w:val="011E4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7414"/>
    <w:multiLevelType w:val="multilevel"/>
    <w:tmpl w:val="2D10282A"/>
    <w:lvl w:ilvl="0">
      <w:start w:val="1"/>
      <w:numFmt w:val="decimal"/>
      <w:lvlText w:val="%1."/>
      <w:lvlJc w:val="left"/>
      <w:pPr>
        <w:tabs>
          <w:tab w:val="num" w:pos="144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0427C"/>
    <w:multiLevelType w:val="multilevel"/>
    <w:tmpl w:val="70DAB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36A4"/>
    <w:multiLevelType w:val="hybridMultilevel"/>
    <w:tmpl w:val="D9DC4E1E"/>
    <w:lvl w:ilvl="0" w:tplc="2820DE0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30F65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19E6AD1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01C76"/>
    <w:multiLevelType w:val="multilevel"/>
    <w:tmpl w:val="57C80E0A"/>
    <w:lvl w:ilvl="0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E716A"/>
    <w:multiLevelType w:val="hybridMultilevel"/>
    <w:tmpl w:val="69485A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A3784B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85465AB"/>
    <w:multiLevelType w:val="multilevel"/>
    <w:tmpl w:val="58869F4C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25F03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C724BC5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64334C97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6A7F4B2E"/>
    <w:multiLevelType w:val="multilevel"/>
    <w:tmpl w:val="D2E4F718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E61D7"/>
    <w:multiLevelType w:val="hybridMultilevel"/>
    <w:tmpl w:val="89528DBA"/>
    <w:lvl w:ilvl="0" w:tplc="F1FE636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C6067"/>
    <w:multiLevelType w:val="hybridMultilevel"/>
    <w:tmpl w:val="DF2074EA"/>
    <w:lvl w:ilvl="0" w:tplc="FB6E676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E464440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2904D4A"/>
    <w:multiLevelType w:val="hybridMultilevel"/>
    <w:tmpl w:val="09EC2064"/>
    <w:lvl w:ilvl="0" w:tplc="EF7E425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D92C76"/>
    <w:multiLevelType w:val="multilevel"/>
    <w:tmpl w:val="6B2256AE"/>
    <w:lvl w:ilvl="0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36C8C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8460B1"/>
    <w:multiLevelType w:val="hybridMultilevel"/>
    <w:tmpl w:val="57C80E0A"/>
    <w:lvl w:ilvl="0" w:tplc="4466697A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7D4353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73E98"/>
    <w:multiLevelType w:val="hybridMultilevel"/>
    <w:tmpl w:val="0DB0937A"/>
    <w:lvl w:ilvl="0" w:tplc="7B725E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D21FFC"/>
    <w:multiLevelType w:val="hybridMultilevel"/>
    <w:tmpl w:val="9050D9AC"/>
    <w:lvl w:ilvl="0" w:tplc="70781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1"/>
  </w:num>
  <w:num w:numId="2">
    <w:abstractNumId w:val="39"/>
  </w:num>
  <w:num w:numId="3">
    <w:abstractNumId w:val="34"/>
  </w:num>
  <w:num w:numId="4">
    <w:abstractNumId w:val="26"/>
  </w:num>
  <w:num w:numId="5">
    <w:abstractNumId w:val="29"/>
  </w:num>
  <w:num w:numId="6">
    <w:abstractNumId w:val="17"/>
  </w:num>
  <w:num w:numId="7">
    <w:abstractNumId w:val="27"/>
  </w:num>
  <w:num w:numId="8">
    <w:abstractNumId w:val="12"/>
  </w:num>
  <w:num w:numId="9">
    <w:abstractNumId w:val="36"/>
  </w:num>
  <w:num w:numId="10">
    <w:abstractNumId w:val="22"/>
  </w:num>
  <w:num w:numId="11">
    <w:abstractNumId w:val="18"/>
  </w:num>
  <w:num w:numId="12">
    <w:abstractNumId w:val="33"/>
  </w:num>
  <w:num w:numId="13">
    <w:abstractNumId w:val="24"/>
  </w:num>
  <w:num w:numId="14">
    <w:abstractNumId w:val="25"/>
  </w:num>
  <w:num w:numId="15">
    <w:abstractNumId w:val="21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  <w:num w:numId="20">
    <w:abstractNumId w:val="6"/>
  </w:num>
  <w:num w:numId="21">
    <w:abstractNumId w:val="4"/>
  </w:num>
  <w:num w:numId="22">
    <w:abstractNumId w:val="11"/>
  </w:num>
  <w:num w:numId="23">
    <w:abstractNumId w:val="35"/>
  </w:num>
  <w:num w:numId="24">
    <w:abstractNumId w:val="37"/>
  </w:num>
  <w:num w:numId="25">
    <w:abstractNumId w:val="20"/>
  </w:num>
  <w:num w:numId="26">
    <w:abstractNumId w:val="5"/>
  </w:num>
  <w:num w:numId="27">
    <w:abstractNumId w:val="23"/>
  </w:num>
  <w:num w:numId="28">
    <w:abstractNumId w:val="15"/>
  </w:num>
  <w:num w:numId="29">
    <w:abstractNumId w:val="3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</w:num>
  <w:num w:numId="35">
    <w:abstractNumId w:val="32"/>
  </w:num>
  <w:num w:numId="36">
    <w:abstractNumId w:val="40"/>
  </w:num>
  <w:num w:numId="37">
    <w:abstractNumId w:val="2"/>
  </w:num>
  <w:num w:numId="38">
    <w:abstractNumId w:val="8"/>
  </w:num>
  <w:num w:numId="39">
    <w:abstractNumId w:val="7"/>
  </w:num>
  <w:num w:numId="40">
    <w:abstractNumId w:val="28"/>
  </w:num>
  <w:num w:numId="41">
    <w:abstractNumId w:val="9"/>
  </w:num>
  <w:num w:numId="42">
    <w:abstractNumId w:val="19"/>
  </w:num>
  <w:num w:numId="43">
    <w:abstractNumId w:val="13"/>
  </w:num>
  <w:num w:numId="44">
    <w:abstractNumId w:val="10"/>
  </w:num>
  <w:num w:numId="45">
    <w:abstractNumId w:val="16"/>
  </w:num>
  <w:num w:numId="4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2A93"/>
    <w:rsid w:val="000057B9"/>
    <w:rsid w:val="00010744"/>
    <w:rsid w:val="00010940"/>
    <w:rsid w:val="00014210"/>
    <w:rsid w:val="0001713C"/>
    <w:rsid w:val="000263A1"/>
    <w:rsid w:val="00047072"/>
    <w:rsid w:val="000557E4"/>
    <w:rsid w:val="000562B6"/>
    <w:rsid w:val="00067961"/>
    <w:rsid w:val="00067EDD"/>
    <w:rsid w:val="00073F78"/>
    <w:rsid w:val="00087F30"/>
    <w:rsid w:val="00095BC9"/>
    <w:rsid w:val="00097D4B"/>
    <w:rsid w:val="000A4B7A"/>
    <w:rsid w:val="000B4368"/>
    <w:rsid w:val="000B7F25"/>
    <w:rsid w:val="000C70DB"/>
    <w:rsid w:val="000E2EC1"/>
    <w:rsid w:val="000F0BCA"/>
    <w:rsid w:val="000F0D26"/>
    <w:rsid w:val="000F50AD"/>
    <w:rsid w:val="00116A65"/>
    <w:rsid w:val="00124895"/>
    <w:rsid w:val="00133BD0"/>
    <w:rsid w:val="001352C8"/>
    <w:rsid w:val="00145A80"/>
    <w:rsid w:val="001472C8"/>
    <w:rsid w:val="00147567"/>
    <w:rsid w:val="00152D16"/>
    <w:rsid w:val="00153606"/>
    <w:rsid w:val="0016229A"/>
    <w:rsid w:val="00162CE7"/>
    <w:rsid w:val="0017115F"/>
    <w:rsid w:val="001808EA"/>
    <w:rsid w:val="001829F6"/>
    <w:rsid w:val="00186C60"/>
    <w:rsid w:val="00186FD4"/>
    <w:rsid w:val="0019706D"/>
    <w:rsid w:val="001A11A6"/>
    <w:rsid w:val="001A5EF7"/>
    <w:rsid w:val="001C545D"/>
    <w:rsid w:val="001D344A"/>
    <w:rsid w:val="001D4CC1"/>
    <w:rsid w:val="001D6D92"/>
    <w:rsid w:val="001D72C2"/>
    <w:rsid w:val="001E18DF"/>
    <w:rsid w:val="001F07DC"/>
    <w:rsid w:val="001F1A66"/>
    <w:rsid w:val="001F6387"/>
    <w:rsid w:val="002003C9"/>
    <w:rsid w:val="0020041D"/>
    <w:rsid w:val="00215D1E"/>
    <w:rsid w:val="00216D47"/>
    <w:rsid w:val="00222071"/>
    <w:rsid w:val="00222771"/>
    <w:rsid w:val="00236123"/>
    <w:rsid w:val="0023773F"/>
    <w:rsid w:val="002446B9"/>
    <w:rsid w:val="0025278B"/>
    <w:rsid w:val="00254AA0"/>
    <w:rsid w:val="0026585C"/>
    <w:rsid w:val="00272C72"/>
    <w:rsid w:val="00283A48"/>
    <w:rsid w:val="002848E1"/>
    <w:rsid w:val="00294A9C"/>
    <w:rsid w:val="002A0107"/>
    <w:rsid w:val="002A45FE"/>
    <w:rsid w:val="002C3427"/>
    <w:rsid w:val="002C4709"/>
    <w:rsid w:val="002F2C92"/>
    <w:rsid w:val="00300EF1"/>
    <w:rsid w:val="00306284"/>
    <w:rsid w:val="00306DBF"/>
    <w:rsid w:val="003072D6"/>
    <w:rsid w:val="00320841"/>
    <w:rsid w:val="00322CB1"/>
    <w:rsid w:val="0032387B"/>
    <w:rsid w:val="003241F3"/>
    <w:rsid w:val="00337709"/>
    <w:rsid w:val="00341033"/>
    <w:rsid w:val="00374C77"/>
    <w:rsid w:val="00376000"/>
    <w:rsid w:val="00380C00"/>
    <w:rsid w:val="00383660"/>
    <w:rsid w:val="00391A8F"/>
    <w:rsid w:val="003B000F"/>
    <w:rsid w:val="003B1FDE"/>
    <w:rsid w:val="003B33E1"/>
    <w:rsid w:val="003B4059"/>
    <w:rsid w:val="003B4A0F"/>
    <w:rsid w:val="003B62C7"/>
    <w:rsid w:val="003D206E"/>
    <w:rsid w:val="003D30B7"/>
    <w:rsid w:val="003D56AE"/>
    <w:rsid w:val="003E2AB7"/>
    <w:rsid w:val="003E4B2F"/>
    <w:rsid w:val="003F03FA"/>
    <w:rsid w:val="003F073D"/>
    <w:rsid w:val="003F3B9A"/>
    <w:rsid w:val="004155AE"/>
    <w:rsid w:val="00421CBD"/>
    <w:rsid w:val="00424188"/>
    <w:rsid w:val="004408D6"/>
    <w:rsid w:val="0044159C"/>
    <w:rsid w:val="00444197"/>
    <w:rsid w:val="00452108"/>
    <w:rsid w:val="00461451"/>
    <w:rsid w:val="004742D2"/>
    <w:rsid w:val="00480569"/>
    <w:rsid w:val="0049231D"/>
    <w:rsid w:val="0049326E"/>
    <w:rsid w:val="00496A26"/>
    <w:rsid w:val="00497CBE"/>
    <w:rsid w:val="004A03E2"/>
    <w:rsid w:val="004A3074"/>
    <w:rsid w:val="004B4426"/>
    <w:rsid w:val="004B5E65"/>
    <w:rsid w:val="004B6E3F"/>
    <w:rsid w:val="004C2773"/>
    <w:rsid w:val="004C3139"/>
    <w:rsid w:val="004C5788"/>
    <w:rsid w:val="004C6DF0"/>
    <w:rsid w:val="004D1846"/>
    <w:rsid w:val="004D45F0"/>
    <w:rsid w:val="004E3295"/>
    <w:rsid w:val="004E4B62"/>
    <w:rsid w:val="004F250C"/>
    <w:rsid w:val="004F4F0C"/>
    <w:rsid w:val="005053AC"/>
    <w:rsid w:val="00507057"/>
    <w:rsid w:val="005101DC"/>
    <w:rsid w:val="005165BE"/>
    <w:rsid w:val="005327B2"/>
    <w:rsid w:val="005423B2"/>
    <w:rsid w:val="00544C27"/>
    <w:rsid w:val="005505F5"/>
    <w:rsid w:val="00561349"/>
    <w:rsid w:val="0057759B"/>
    <w:rsid w:val="0058109F"/>
    <w:rsid w:val="00582643"/>
    <w:rsid w:val="00593AA3"/>
    <w:rsid w:val="0059721C"/>
    <w:rsid w:val="005A02EB"/>
    <w:rsid w:val="005A307F"/>
    <w:rsid w:val="005A3B23"/>
    <w:rsid w:val="005A583D"/>
    <w:rsid w:val="005C505B"/>
    <w:rsid w:val="005C7097"/>
    <w:rsid w:val="005D1757"/>
    <w:rsid w:val="005D1F72"/>
    <w:rsid w:val="005E0CFE"/>
    <w:rsid w:val="005F1633"/>
    <w:rsid w:val="005F4489"/>
    <w:rsid w:val="00602775"/>
    <w:rsid w:val="00603700"/>
    <w:rsid w:val="00605E64"/>
    <w:rsid w:val="0061052D"/>
    <w:rsid w:val="00617121"/>
    <w:rsid w:val="00621064"/>
    <w:rsid w:val="00624F4F"/>
    <w:rsid w:val="00627343"/>
    <w:rsid w:val="006322AE"/>
    <w:rsid w:val="00633999"/>
    <w:rsid w:val="00644A46"/>
    <w:rsid w:val="0065169F"/>
    <w:rsid w:val="0065301F"/>
    <w:rsid w:val="00655545"/>
    <w:rsid w:val="00655722"/>
    <w:rsid w:val="00662CFB"/>
    <w:rsid w:val="00673D5E"/>
    <w:rsid w:val="006751F2"/>
    <w:rsid w:val="00675B48"/>
    <w:rsid w:val="006768C9"/>
    <w:rsid w:val="006832F6"/>
    <w:rsid w:val="00686E3D"/>
    <w:rsid w:val="0068789F"/>
    <w:rsid w:val="006957E8"/>
    <w:rsid w:val="006A3FC4"/>
    <w:rsid w:val="006D11D5"/>
    <w:rsid w:val="006D2624"/>
    <w:rsid w:val="006E3924"/>
    <w:rsid w:val="006E643B"/>
    <w:rsid w:val="006F47E2"/>
    <w:rsid w:val="00727AEE"/>
    <w:rsid w:val="0074080B"/>
    <w:rsid w:val="00742D2C"/>
    <w:rsid w:val="00743E17"/>
    <w:rsid w:val="00753047"/>
    <w:rsid w:val="00761E73"/>
    <w:rsid w:val="00765317"/>
    <w:rsid w:val="00766BFF"/>
    <w:rsid w:val="00771C0D"/>
    <w:rsid w:val="00775738"/>
    <w:rsid w:val="007768A0"/>
    <w:rsid w:val="00776F0E"/>
    <w:rsid w:val="00781D96"/>
    <w:rsid w:val="00786E5B"/>
    <w:rsid w:val="007915BD"/>
    <w:rsid w:val="007A6B5B"/>
    <w:rsid w:val="007A7F36"/>
    <w:rsid w:val="007D5B75"/>
    <w:rsid w:val="007E007B"/>
    <w:rsid w:val="007E362F"/>
    <w:rsid w:val="007E431A"/>
    <w:rsid w:val="007E5DF9"/>
    <w:rsid w:val="00800127"/>
    <w:rsid w:val="0080447E"/>
    <w:rsid w:val="008103B1"/>
    <w:rsid w:val="00824A34"/>
    <w:rsid w:val="00826582"/>
    <w:rsid w:val="00830A99"/>
    <w:rsid w:val="008369FB"/>
    <w:rsid w:val="00837936"/>
    <w:rsid w:val="008506DF"/>
    <w:rsid w:val="008549B1"/>
    <w:rsid w:val="00877C67"/>
    <w:rsid w:val="008A4520"/>
    <w:rsid w:val="008A4F85"/>
    <w:rsid w:val="008A6A2B"/>
    <w:rsid w:val="008B36B5"/>
    <w:rsid w:val="008B6A8D"/>
    <w:rsid w:val="008B6E76"/>
    <w:rsid w:val="008C17A5"/>
    <w:rsid w:val="008C2A8B"/>
    <w:rsid w:val="008D0390"/>
    <w:rsid w:val="008D1406"/>
    <w:rsid w:val="008D3107"/>
    <w:rsid w:val="008D4284"/>
    <w:rsid w:val="008F7DBF"/>
    <w:rsid w:val="009346C8"/>
    <w:rsid w:val="00937302"/>
    <w:rsid w:val="00940938"/>
    <w:rsid w:val="009437A0"/>
    <w:rsid w:val="009503A5"/>
    <w:rsid w:val="00955E8A"/>
    <w:rsid w:val="009778AA"/>
    <w:rsid w:val="0098381B"/>
    <w:rsid w:val="009864A1"/>
    <w:rsid w:val="009915F1"/>
    <w:rsid w:val="00992775"/>
    <w:rsid w:val="00997A7E"/>
    <w:rsid w:val="009A546D"/>
    <w:rsid w:val="009B273E"/>
    <w:rsid w:val="009D26A9"/>
    <w:rsid w:val="009D40DA"/>
    <w:rsid w:val="009D7801"/>
    <w:rsid w:val="009E463E"/>
    <w:rsid w:val="009E5B4F"/>
    <w:rsid w:val="009F03F1"/>
    <w:rsid w:val="009F2E27"/>
    <w:rsid w:val="009F357E"/>
    <w:rsid w:val="00A0341E"/>
    <w:rsid w:val="00A16432"/>
    <w:rsid w:val="00A2259D"/>
    <w:rsid w:val="00A33D4A"/>
    <w:rsid w:val="00A37952"/>
    <w:rsid w:val="00A4208C"/>
    <w:rsid w:val="00A428B9"/>
    <w:rsid w:val="00A6713E"/>
    <w:rsid w:val="00A826CF"/>
    <w:rsid w:val="00A82DE4"/>
    <w:rsid w:val="00A91854"/>
    <w:rsid w:val="00A94705"/>
    <w:rsid w:val="00AA139A"/>
    <w:rsid w:val="00AC1BF1"/>
    <w:rsid w:val="00AC3988"/>
    <w:rsid w:val="00AC493B"/>
    <w:rsid w:val="00AD22EA"/>
    <w:rsid w:val="00AD396A"/>
    <w:rsid w:val="00AE18B9"/>
    <w:rsid w:val="00B03496"/>
    <w:rsid w:val="00B10410"/>
    <w:rsid w:val="00B224B6"/>
    <w:rsid w:val="00B229E0"/>
    <w:rsid w:val="00B23B9E"/>
    <w:rsid w:val="00B24A34"/>
    <w:rsid w:val="00B30965"/>
    <w:rsid w:val="00B50F3A"/>
    <w:rsid w:val="00B51A90"/>
    <w:rsid w:val="00B52AB6"/>
    <w:rsid w:val="00B539DC"/>
    <w:rsid w:val="00B53E83"/>
    <w:rsid w:val="00B5700C"/>
    <w:rsid w:val="00B62CAF"/>
    <w:rsid w:val="00B64943"/>
    <w:rsid w:val="00B81867"/>
    <w:rsid w:val="00B825AC"/>
    <w:rsid w:val="00B8670E"/>
    <w:rsid w:val="00B90C9E"/>
    <w:rsid w:val="00B934AB"/>
    <w:rsid w:val="00BA5AB1"/>
    <w:rsid w:val="00BC0077"/>
    <w:rsid w:val="00BC02B3"/>
    <w:rsid w:val="00BD18A4"/>
    <w:rsid w:val="00BD5276"/>
    <w:rsid w:val="00BD6A5A"/>
    <w:rsid w:val="00BE0EE5"/>
    <w:rsid w:val="00BE7C7A"/>
    <w:rsid w:val="00BF3503"/>
    <w:rsid w:val="00C045BA"/>
    <w:rsid w:val="00C07F83"/>
    <w:rsid w:val="00C1184D"/>
    <w:rsid w:val="00C12604"/>
    <w:rsid w:val="00C14539"/>
    <w:rsid w:val="00C174DD"/>
    <w:rsid w:val="00C23284"/>
    <w:rsid w:val="00C31F7C"/>
    <w:rsid w:val="00C33164"/>
    <w:rsid w:val="00C33F9C"/>
    <w:rsid w:val="00C53A79"/>
    <w:rsid w:val="00C5745A"/>
    <w:rsid w:val="00C6418B"/>
    <w:rsid w:val="00C737F7"/>
    <w:rsid w:val="00C777C7"/>
    <w:rsid w:val="00C82343"/>
    <w:rsid w:val="00C82602"/>
    <w:rsid w:val="00CA36C7"/>
    <w:rsid w:val="00CC0EC3"/>
    <w:rsid w:val="00CC3300"/>
    <w:rsid w:val="00CC7AB7"/>
    <w:rsid w:val="00CD0B89"/>
    <w:rsid w:val="00CD4F89"/>
    <w:rsid w:val="00CF3F8D"/>
    <w:rsid w:val="00CF4B0E"/>
    <w:rsid w:val="00D07DA5"/>
    <w:rsid w:val="00D20647"/>
    <w:rsid w:val="00D20A03"/>
    <w:rsid w:val="00D21DEC"/>
    <w:rsid w:val="00D22C26"/>
    <w:rsid w:val="00D22E90"/>
    <w:rsid w:val="00D25D26"/>
    <w:rsid w:val="00D305B0"/>
    <w:rsid w:val="00D42A1E"/>
    <w:rsid w:val="00D466FB"/>
    <w:rsid w:val="00D649AF"/>
    <w:rsid w:val="00D7667F"/>
    <w:rsid w:val="00D804B6"/>
    <w:rsid w:val="00D81775"/>
    <w:rsid w:val="00D861D7"/>
    <w:rsid w:val="00DB21F6"/>
    <w:rsid w:val="00DB3753"/>
    <w:rsid w:val="00DC2D9E"/>
    <w:rsid w:val="00DC5C15"/>
    <w:rsid w:val="00DC7F91"/>
    <w:rsid w:val="00DD4B6C"/>
    <w:rsid w:val="00DD74CF"/>
    <w:rsid w:val="00DF3422"/>
    <w:rsid w:val="00DF383A"/>
    <w:rsid w:val="00DF3CCA"/>
    <w:rsid w:val="00DF41BF"/>
    <w:rsid w:val="00DF77E1"/>
    <w:rsid w:val="00E00CC8"/>
    <w:rsid w:val="00E018EA"/>
    <w:rsid w:val="00E14DF5"/>
    <w:rsid w:val="00E170E3"/>
    <w:rsid w:val="00E20C7B"/>
    <w:rsid w:val="00E24C29"/>
    <w:rsid w:val="00E3246B"/>
    <w:rsid w:val="00E33A3B"/>
    <w:rsid w:val="00E4028F"/>
    <w:rsid w:val="00E4109B"/>
    <w:rsid w:val="00E479CB"/>
    <w:rsid w:val="00E546D5"/>
    <w:rsid w:val="00E557BF"/>
    <w:rsid w:val="00E74612"/>
    <w:rsid w:val="00E94388"/>
    <w:rsid w:val="00E979C6"/>
    <w:rsid w:val="00EB4B2D"/>
    <w:rsid w:val="00EB7B1D"/>
    <w:rsid w:val="00EB7D00"/>
    <w:rsid w:val="00EC3C7F"/>
    <w:rsid w:val="00EC582B"/>
    <w:rsid w:val="00ED4046"/>
    <w:rsid w:val="00ED659E"/>
    <w:rsid w:val="00EE0C2C"/>
    <w:rsid w:val="00EE508E"/>
    <w:rsid w:val="00EF31F9"/>
    <w:rsid w:val="00F03736"/>
    <w:rsid w:val="00F06218"/>
    <w:rsid w:val="00F26299"/>
    <w:rsid w:val="00F2720D"/>
    <w:rsid w:val="00F65964"/>
    <w:rsid w:val="00F7373C"/>
    <w:rsid w:val="00F820AC"/>
    <w:rsid w:val="00F87EBF"/>
    <w:rsid w:val="00F94A96"/>
    <w:rsid w:val="00F96F53"/>
    <w:rsid w:val="00F97285"/>
    <w:rsid w:val="00FA111F"/>
    <w:rsid w:val="00FA2DD5"/>
    <w:rsid w:val="00FA71C0"/>
    <w:rsid w:val="00FB262C"/>
    <w:rsid w:val="00FB6E98"/>
    <w:rsid w:val="00FC60C1"/>
    <w:rsid w:val="00FC7CCC"/>
    <w:rsid w:val="00FD1E59"/>
    <w:rsid w:val="00FE1169"/>
    <w:rsid w:val="00FE28D8"/>
    <w:rsid w:val="00FE7342"/>
    <w:rsid w:val="00FF041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5969C89"/>
  <w15:docId w15:val="{A18442C7-7CC1-4B57-9874-AF33C20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D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D07DA5"/>
    <w:rPr>
      <w:sz w:val="20"/>
    </w:rPr>
  </w:style>
  <w:style w:type="character" w:customStyle="1" w:styleId="FootnoteTextChar">
    <w:name w:val="Footnote Text Char"/>
    <w:link w:val="FootnoteText"/>
    <w:rsid w:val="00D07DA5"/>
    <w:rPr>
      <w:lang w:val="en-US" w:eastAsia="en-US"/>
    </w:rPr>
  </w:style>
  <w:style w:type="character" w:styleId="FootnoteReference">
    <w:name w:val="footnote reference"/>
    <w:rsid w:val="00D07DA5"/>
    <w:rPr>
      <w:vertAlign w:val="superscript"/>
    </w:rPr>
  </w:style>
  <w:style w:type="character" w:customStyle="1" w:styleId="HeaderChar">
    <w:name w:val="Header Char"/>
    <w:link w:val="Header"/>
    <w:uiPriority w:val="99"/>
    <w:rsid w:val="00D649AF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124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8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8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895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EE50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508E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E508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ocked/>
    <w:rsid w:val="00EE508E"/>
    <w:rPr>
      <w:rFonts w:ascii="Cambria" w:hAnsi="Cambria" w:cs="Times New Roman" w:hint="default"/>
      <w:b/>
      <w:bCs/>
      <w:sz w:val="26"/>
      <w:szCs w:val="26"/>
      <w:lang w:val="es-ES_tradnl"/>
    </w:rPr>
  </w:style>
  <w:style w:type="paragraph" w:customStyle="1" w:styleId="CPClassification">
    <w:name w:val="CP Classification"/>
    <w:basedOn w:val="Normal"/>
    <w:rsid w:val="003F073D"/>
    <w:pPr>
      <w:tabs>
        <w:tab w:val="center" w:pos="2160"/>
        <w:tab w:val="left" w:pos="7200"/>
      </w:tabs>
      <w:ind w:left="7200" w:right="-360"/>
      <w:jc w:val="both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275-BFAA-4EB4-8FAA-E8E14D6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Mayorga, Georgina</cp:lastModifiedBy>
  <cp:revision>2</cp:revision>
  <cp:lastPrinted>2014-04-28T12:53:00Z</cp:lastPrinted>
  <dcterms:created xsi:type="dcterms:W3CDTF">2021-11-06T01:37:00Z</dcterms:created>
  <dcterms:modified xsi:type="dcterms:W3CDTF">2021-11-06T01:37:00Z</dcterms:modified>
</cp:coreProperties>
</file>